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F4304" w14:textId="6203CA51" w:rsidR="00BD47EE" w:rsidRDefault="00BD47EE" w:rsidP="007F065E">
      <w:pPr>
        <w:pStyle w:val="BodyText"/>
        <w:ind w:right="1109" w:firstLine="720"/>
        <w:jc w:val="center"/>
      </w:pPr>
      <w:r>
        <w:t>Resolution No.</w:t>
      </w:r>
    </w:p>
    <w:p w14:paraId="005AAD13" w14:textId="77777777" w:rsidR="00BD47EE" w:rsidRPr="007F065E" w:rsidRDefault="00BD47EE" w:rsidP="007F065E">
      <w:pPr>
        <w:pStyle w:val="BodyText"/>
        <w:ind w:right="1109" w:firstLine="720"/>
      </w:pPr>
    </w:p>
    <w:p w14:paraId="47646927" w14:textId="1DF00CA1" w:rsidR="0004433F" w:rsidRDefault="00BD47EE" w:rsidP="007F065E">
      <w:pPr>
        <w:pStyle w:val="BodyText"/>
        <w:ind w:right="1109" w:firstLine="720"/>
        <w:jc w:val="center"/>
      </w:pPr>
      <w:r>
        <w:t>A RESOLUTION TO SUPPORT RESTORING THE HISTORIC REVENUE SHARING RELATIONSHIP BETWEEN THE STATE OF TENNESSEE</w:t>
      </w:r>
    </w:p>
    <w:p w14:paraId="31AE635B" w14:textId="1D213284" w:rsidR="00BD47EE" w:rsidRDefault="00BD47EE" w:rsidP="007F065E">
      <w:pPr>
        <w:pStyle w:val="BodyText"/>
        <w:ind w:right="1109" w:firstLine="720"/>
        <w:jc w:val="center"/>
      </w:pPr>
      <w:r>
        <w:t>AND ITS LOCAL GOVERNMENTS</w:t>
      </w:r>
    </w:p>
    <w:p w14:paraId="0A266F68" w14:textId="77777777" w:rsidR="00BD47EE" w:rsidRDefault="00BD47EE" w:rsidP="007F065E">
      <w:pPr>
        <w:pStyle w:val="BodyText"/>
        <w:ind w:right="1109" w:firstLine="720"/>
      </w:pPr>
    </w:p>
    <w:p w14:paraId="7F8CA65E" w14:textId="77777777" w:rsidR="00BD47EE" w:rsidRDefault="00BD47EE" w:rsidP="007F065E">
      <w:pPr>
        <w:pStyle w:val="BodyText"/>
        <w:ind w:right="1109" w:firstLine="720"/>
      </w:pPr>
      <w:proofErr w:type="gramStart"/>
      <w:r>
        <w:t>WHEREAS,</w:t>
      </w:r>
      <w:proofErr w:type="gramEnd"/>
      <w:r w:rsidRPr="007F065E">
        <w:t xml:space="preserve"> </w:t>
      </w:r>
      <w:r>
        <w:t>Tennessee’s</w:t>
      </w:r>
      <w:r w:rsidRPr="007F065E">
        <w:t xml:space="preserve"> </w:t>
      </w:r>
      <w:r>
        <w:t>municipal</w:t>
      </w:r>
      <w:r w:rsidRPr="007F065E">
        <w:t xml:space="preserve"> </w:t>
      </w:r>
      <w:r>
        <w:t>communities</w:t>
      </w:r>
      <w:r w:rsidRPr="007F065E">
        <w:t xml:space="preserve"> </w:t>
      </w:r>
      <w:r>
        <w:t>are</w:t>
      </w:r>
      <w:r w:rsidRPr="007F065E">
        <w:t xml:space="preserve"> </w:t>
      </w:r>
      <w:r>
        <w:t>the</w:t>
      </w:r>
      <w:r w:rsidRPr="007F065E">
        <w:t xml:space="preserve"> </w:t>
      </w:r>
      <w:r>
        <w:t>economic</w:t>
      </w:r>
      <w:r w:rsidRPr="007F065E">
        <w:t xml:space="preserve"> </w:t>
      </w:r>
      <w:r>
        <w:t>engine</w:t>
      </w:r>
      <w:r w:rsidRPr="007F065E">
        <w:t xml:space="preserve"> </w:t>
      </w:r>
      <w:r>
        <w:t>of</w:t>
      </w:r>
      <w:r w:rsidRPr="007F065E">
        <w:t xml:space="preserve"> </w:t>
      </w:r>
      <w:r>
        <w:t>the</w:t>
      </w:r>
      <w:r w:rsidRPr="007F065E">
        <w:t xml:space="preserve"> </w:t>
      </w:r>
      <w:r>
        <w:t>state and today 92% of the state’s total sales tax collections are generated within municipal boundaries; and,</w:t>
      </w:r>
    </w:p>
    <w:p w14:paraId="51D77030" w14:textId="77777777" w:rsidR="00BD47EE" w:rsidRDefault="00BD47EE" w:rsidP="007F065E">
      <w:pPr>
        <w:pStyle w:val="BodyText"/>
        <w:ind w:right="1109" w:firstLine="720"/>
      </w:pPr>
    </w:p>
    <w:p w14:paraId="50F7CE02" w14:textId="77777777" w:rsidR="00BD47EE" w:rsidRDefault="00BD47EE" w:rsidP="007F065E">
      <w:pPr>
        <w:pStyle w:val="BodyText"/>
        <w:ind w:right="1109" w:firstLine="720"/>
      </w:pPr>
      <w:proofErr w:type="gramStart"/>
      <w:r>
        <w:t>WHEREAS,</w:t>
      </w:r>
      <w:proofErr w:type="gramEnd"/>
      <w:r>
        <w:t xml:space="preserve"> such economic growth is intentional and when it occurs, it is financed largely</w:t>
      </w:r>
      <w:r w:rsidRPr="007F065E">
        <w:t xml:space="preserve"> </w:t>
      </w:r>
      <w:r>
        <w:t>through</w:t>
      </w:r>
      <w:r w:rsidRPr="007F065E">
        <w:t xml:space="preserve"> </w:t>
      </w:r>
      <w:r>
        <w:t>city</w:t>
      </w:r>
      <w:r w:rsidRPr="007F065E">
        <w:t xml:space="preserve"> </w:t>
      </w:r>
      <w:r>
        <w:t>taxes</w:t>
      </w:r>
      <w:r w:rsidRPr="007F065E">
        <w:t xml:space="preserve"> </w:t>
      </w:r>
      <w:r>
        <w:t>for</w:t>
      </w:r>
      <w:r w:rsidRPr="007F065E">
        <w:t xml:space="preserve"> </w:t>
      </w:r>
      <w:r>
        <w:t>police,</w:t>
      </w:r>
      <w:r w:rsidRPr="007F065E">
        <w:t xml:space="preserve"> </w:t>
      </w:r>
      <w:r>
        <w:t>fire,</w:t>
      </w:r>
      <w:r w:rsidRPr="007F065E">
        <w:t xml:space="preserve"> </w:t>
      </w:r>
      <w:r>
        <w:t>streets,</w:t>
      </w:r>
      <w:r w:rsidRPr="007F065E">
        <w:t xml:space="preserve"> </w:t>
      </w:r>
      <w:r>
        <w:t>water</w:t>
      </w:r>
      <w:r w:rsidRPr="007F065E">
        <w:t xml:space="preserve"> </w:t>
      </w:r>
      <w:r>
        <w:t>and</w:t>
      </w:r>
      <w:r w:rsidRPr="007F065E">
        <w:t xml:space="preserve"> </w:t>
      </w:r>
      <w:r>
        <w:t>sewer,</w:t>
      </w:r>
      <w:r w:rsidRPr="007F065E">
        <w:t xml:space="preserve"> </w:t>
      </w:r>
      <w:r>
        <w:t>schools,</w:t>
      </w:r>
      <w:r w:rsidRPr="007F065E">
        <w:t xml:space="preserve"> </w:t>
      </w:r>
      <w:r>
        <w:t>parks,</w:t>
      </w:r>
      <w:r w:rsidRPr="007F065E">
        <w:t xml:space="preserve"> </w:t>
      </w:r>
      <w:r>
        <w:t>libraries</w:t>
      </w:r>
      <w:r w:rsidRPr="007F065E">
        <w:t xml:space="preserve"> </w:t>
      </w:r>
      <w:r>
        <w:t>and other</w:t>
      </w:r>
      <w:r w:rsidRPr="007F065E">
        <w:t xml:space="preserve"> </w:t>
      </w:r>
      <w:r>
        <w:t>amenities</w:t>
      </w:r>
      <w:r w:rsidRPr="007F065E">
        <w:t xml:space="preserve"> </w:t>
      </w:r>
      <w:r>
        <w:t>that</w:t>
      </w:r>
      <w:r w:rsidRPr="007F065E">
        <w:t xml:space="preserve"> </w:t>
      </w:r>
      <w:r>
        <w:t>attract</w:t>
      </w:r>
      <w:r w:rsidRPr="007F065E">
        <w:t xml:space="preserve"> </w:t>
      </w:r>
      <w:r>
        <w:t>and</w:t>
      </w:r>
      <w:r w:rsidRPr="007F065E">
        <w:t xml:space="preserve"> </w:t>
      </w:r>
      <w:r>
        <w:t>retain</w:t>
      </w:r>
      <w:r w:rsidRPr="007F065E">
        <w:t xml:space="preserve"> </w:t>
      </w:r>
      <w:r>
        <w:t>businesses</w:t>
      </w:r>
      <w:r w:rsidRPr="007F065E">
        <w:t xml:space="preserve"> </w:t>
      </w:r>
      <w:r>
        <w:t>and</w:t>
      </w:r>
      <w:r w:rsidRPr="007F065E">
        <w:t xml:space="preserve"> </w:t>
      </w:r>
      <w:r>
        <w:t>make</w:t>
      </w:r>
      <w:r w:rsidRPr="007F065E">
        <w:t xml:space="preserve"> </w:t>
      </w:r>
      <w:r>
        <w:t>Tennessee’s</w:t>
      </w:r>
      <w:r w:rsidRPr="007F065E">
        <w:t xml:space="preserve"> </w:t>
      </w:r>
      <w:r>
        <w:t>communities</w:t>
      </w:r>
      <w:r w:rsidRPr="007F065E">
        <w:t xml:space="preserve"> </w:t>
      </w:r>
      <w:r>
        <w:t>desirable places for people to raise a family, start a business, and visit; and,</w:t>
      </w:r>
    </w:p>
    <w:p w14:paraId="4DA70422" w14:textId="77777777" w:rsidR="00BD47EE" w:rsidRDefault="00BD47EE" w:rsidP="007F065E">
      <w:pPr>
        <w:pStyle w:val="BodyText"/>
        <w:ind w:right="1109" w:firstLine="720"/>
      </w:pPr>
    </w:p>
    <w:p w14:paraId="1B566B4A" w14:textId="77777777" w:rsidR="00BD47EE" w:rsidRDefault="00BD47EE" w:rsidP="007F065E">
      <w:pPr>
        <w:pStyle w:val="BodyText"/>
        <w:ind w:right="1109" w:firstLine="720"/>
      </w:pPr>
      <w:r>
        <w:t>WHEREAS, in 1947, the state began sharing 4.6% of each year’s total state sales tax collections</w:t>
      </w:r>
      <w:r w:rsidRPr="007F065E">
        <w:t xml:space="preserve"> </w:t>
      </w:r>
      <w:r>
        <w:t>with</w:t>
      </w:r>
      <w:r w:rsidRPr="007F065E">
        <w:t xml:space="preserve"> </w:t>
      </w:r>
      <w:r>
        <w:t>cities</w:t>
      </w:r>
      <w:r w:rsidRPr="007F065E">
        <w:t xml:space="preserve"> </w:t>
      </w:r>
      <w:r>
        <w:t>for</w:t>
      </w:r>
      <w:r w:rsidRPr="007F065E">
        <w:t xml:space="preserve"> </w:t>
      </w:r>
      <w:r>
        <w:t>the</w:t>
      </w:r>
      <w:r w:rsidRPr="007F065E">
        <w:t xml:space="preserve"> </w:t>
      </w:r>
      <w:r>
        <w:t>purposes</w:t>
      </w:r>
      <w:r w:rsidRPr="007F065E">
        <w:t xml:space="preserve"> </w:t>
      </w:r>
      <w:r>
        <w:t>of</w:t>
      </w:r>
      <w:r w:rsidRPr="007F065E">
        <w:t xml:space="preserve"> </w:t>
      </w:r>
      <w:r>
        <w:t>recognizing</w:t>
      </w:r>
      <w:r w:rsidRPr="007F065E">
        <w:t xml:space="preserve"> </w:t>
      </w:r>
      <w:r>
        <w:t>the</w:t>
      </w:r>
      <w:r w:rsidRPr="007F065E">
        <w:t xml:space="preserve"> </w:t>
      </w:r>
      <w:r>
        <w:t>collective</w:t>
      </w:r>
      <w:r w:rsidRPr="007F065E">
        <w:t xml:space="preserve"> </w:t>
      </w:r>
      <w:r>
        <w:t>contribution</w:t>
      </w:r>
      <w:r w:rsidRPr="007F065E">
        <w:t xml:space="preserve"> </w:t>
      </w:r>
      <w:r>
        <w:t>of</w:t>
      </w:r>
      <w:r w:rsidRPr="007F065E">
        <w:t xml:space="preserve"> </w:t>
      </w:r>
      <w:r>
        <w:t>cities</w:t>
      </w:r>
      <w:r w:rsidRPr="007F065E">
        <w:t xml:space="preserve"> </w:t>
      </w:r>
      <w:r>
        <w:t>as</w:t>
      </w:r>
      <w:r w:rsidRPr="007F065E">
        <w:t xml:space="preserve"> </w:t>
      </w:r>
      <w:r>
        <w:t>the state’s</w:t>
      </w:r>
      <w:r w:rsidRPr="007F065E">
        <w:t xml:space="preserve"> </w:t>
      </w:r>
      <w:r>
        <w:t>economic</w:t>
      </w:r>
      <w:r w:rsidRPr="007F065E">
        <w:t xml:space="preserve"> </w:t>
      </w:r>
      <w:r>
        <w:t>engine;</w:t>
      </w:r>
      <w:r w:rsidRPr="007F065E">
        <w:t xml:space="preserve"> </w:t>
      </w:r>
      <w:r>
        <w:t>thereby</w:t>
      </w:r>
      <w:r w:rsidRPr="007F065E">
        <w:t xml:space="preserve"> </w:t>
      </w:r>
      <w:r>
        <w:t>acknowledging</w:t>
      </w:r>
      <w:r w:rsidRPr="007F065E">
        <w:t xml:space="preserve"> </w:t>
      </w:r>
      <w:r>
        <w:t>that</w:t>
      </w:r>
      <w:r w:rsidRPr="007F065E">
        <w:t xml:space="preserve"> </w:t>
      </w:r>
      <w:r>
        <w:t>city</w:t>
      </w:r>
      <w:r w:rsidRPr="007F065E">
        <w:t xml:space="preserve"> </w:t>
      </w:r>
      <w:r>
        <w:t>residents</w:t>
      </w:r>
      <w:r w:rsidRPr="007F065E">
        <w:t xml:space="preserve"> </w:t>
      </w:r>
      <w:r>
        <w:t>incur</w:t>
      </w:r>
      <w:r w:rsidRPr="007F065E">
        <w:t xml:space="preserve"> </w:t>
      </w:r>
      <w:r>
        <w:t>a</w:t>
      </w:r>
      <w:r w:rsidRPr="007F065E">
        <w:t xml:space="preserve"> </w:t>
      </w:r>
      <w:r>
        <w:t>local</w:t>
      </w:r>
      <w:r w:rsidRPr="007F065E">
        <w:t xml:space="preserve"> </w:t>
      </w:r>
      <w:r>
        <w:t>tax</w:t>
      </w:r>
      <w:r w:rsidRPr="007F065E">
        <w:t xml:space="preserve"> </w:t>
      </w:r>
      <w:r>
        <w:t>burden</w:t>
      </w:r>
      <w:r w:rsidRPr="007F065E">
        <w:t xml:space="preserve"> </w:t>
      </w:r>
      <w:r>
        <w:t>that is</w:t>
      </w:r>
      <w:r w:rsidRPr="007F065E">
        <w:t xml:space="preserve"> </w:t>
      </w:r>
      <w:r>
        <w:t>directly</w:t>
      </w:r>
      <w:r w:rsidRPr="007F065E">
        <w:t xml:space="preserve"> </w:t>
      </w:r>
      <w:r>
        <w:t>attributable</w:t>
      </w:r>
      <w:r w:rsidRPr="007F065E">
        <w:t xml:space="preserve"> </w:t>
      </w:r>
      <w:r>
        <w:t>to</w:t>
      </w:r>
      <w:r w:rsidRPr="007F065E">
        <w:t xml:space="preserve"> </w:t>
      </w:r>
      <w:r>
        <w:t>financing,</w:t>
      </w:r>
      <w:r w:rsidRPr="007F065E">
        <w:t xml:space="preserve"> </w:t>
      </w:r>
      <w:r>
        <w:t>developing,</w:t>
      </w:r>
      <w:r w:rsidRPr="007F065E">
        <w:t xml:space="preserve"> </w:t>
      </w:r>
      <w:r>
        <w:t>and</w:t>
      </w:r>
      <w:r w:rsidRPr="007F065E">
        <w:t xml:space="preserve"> </w:t>
      </w:r>
      <w:r>
        <w:t>maintaining</w:t>
      </w:r>
      <w:r w:rsidRPr="007F065E">
        <w:t xml:space="preserve"> </w:t>
      </w:r>
      <w:r>
        <w:t>an economic</w:t>
      </w:r>
      <w:r w:rsidRPr="007F065E">
        <w:t xml:space="preserve"> </w:t>
      </w:r>
      <w:r>
        <w:t>environment</w:t>
      </w:r>
      <w:r w:rsidRPr="007F065E">
        <w:t xml:space="preserve"> </w:t>
      </w:r>
      <w:r>
        <w:t>that continues to generate a healthy portion of the sales tax revenue accruing to the state; and,</w:t>
      </w:r>
    </w:p>
    <w:p w14:paraId="5D5EAEAD" w14:textId="77777777" w:rsidR="00BD47EE" w:rsidRPr="007F065E" w:rsidRDefault="00BD47EE" w:rsidP="007F065E">
      <w:pPr>
        <w:pStyle w:val="BodyText"/>
        <w:ind w:right="1109" w:firstLine="720"/>
      </w:pPr>
    </w:p>
    <w:p w14:paraId="146016EA" w14:textId="77777777" w:rsidR="00BD47EE" w:rsidRDefault="00BD47EE" w:rsidP="007F065E">
      <w:pPr>
        <w:pStyle w:val="BodyText"/>
        <w:ind w:right="1109" w:firstLine="720"/>
      </w:pPr>
      <w:r>
        <w:t>WHEREAS,</w:t>
      </w:r>
      <w:r w:rsidRPr="007F065E">
        <w:t xml:space="preserve"> </w:t>
      </w:r>
      <w:r>
        <w:t>when</w:t>
      </w:r>
      <w:r w:rsidRPr="007F065E">
        <w:t xml:space="preserve"> </w:t>
      </w:r>
      <w:r>
        <w:t>confronting</w:t>
      </w:r>
      <w:r w:rsidRPr="007F065E">
        <w:t xml:space="preserve"> </w:t>
      </w:r>
      <w:r>
        <w:t>serious</w:t>
      </w:r>
      <w:r w:rsidRPr="007F065E">
        <w:t xml:space="preserve"> </w:t>
      </w:r>
      <w:r>
        <w:t>fiscal</w:t>
      </w:r>
      <w:r w:rsidRPr="007F065E">
        <w:t xml:space="preserve"> </w:t>
      </w:r>
      <w:r>
        <w:t>challenges</w:t>
      </w:r>
      <w:r w:rsidRPr="007F065E">
        <w:t xml:space="preserve"> </w:t>
      </w:r>
      <w:r>
        <w:t>in</w:t>
      </w:r>
      <w:r w:rsidRPr="007F065E">
        <w:t xml:space="preserve"> </w:t>
      </w:r>
      <w:r>
        <w:t>2002,</w:t>
      </w:r>
      <w:r w:rsidRPr="007F065E">
        <w:t xml:space="preserve"> </w:t>
      </w:r>
      <w:r>
        <w:t>the</w:t>
      </w:r>
      <w:r w:rsidRPr="007F065E">
        <w:t xml:space="preserve"> </w:t>
      </w:r>
      <w:r>
        <w:t>state</w:t>
      </w:r>
      <w:r w:rsidRPr="007F065E">
        <w:t xml:space="preserve"> </w:t>
      </w:r>
      <w:r>
        <w:t>of</w:t>
      </w:r>
      <w:r w:rsidRPr="007F065E">
        <w:t xml:space="preserve"> </w:t>
      </w:r>
      <w:r>
        <w:t>Tennessee increased the state sales tax rate from 6% to 7%; and,</w:t>
      </w:r>
    </w:p>
    <w:p w14:paraId="455BD058" w14:textId="77777777" w:rsidR="00BD47EE" w:rsidRDefault="00BD47EE" w:rsidP="007F065E">
      <w:pPr>
        <w:pStyle w:val="BodyText"/>
        <w:ind w:right="1109" w:firstLine="720"/>
      </w:pPr>
    </w:p>
    <w:p w14:paraId="6E54A8CA" w14:textId="77777777" w:rsidR="00BD47EE" w:rsidRDefault="00BD47EE" w:rsidP="007F065E">
      <w:pPr>
        <w:pStyle w:val="BodyText"/>
        <w:ind w:right="1109" w:firstLine="720"/>
      </w:pPr>
      <w:proofErr w:type="gramStart"/>
      <w:r>
        <w:t>WHEREAS,</w:t>
      </w:r>
      <w:proofErr w:type="gramEnd"/>
      <w:r w:rsidRPr="007F065E">
        <w:t xml:space="preserve"> </w:t>
      </w:r>
      <w:r>
        <w:t>the</w:t>
      </w:r>
      <w:r w:rsidRPr="007F065E">
        <w:t xml:space="preserve"> </w:t>
      </w:r>
      <w:r>
        <w:t>state</w:t>
      </w:r>
      <w:r w:rsidRPr="007F065E">
        <w:t xml:space="preserve"> </w:t>
      </w:r>
      <w:r>
        <w:t>chose</w:t>
      </w:r>
      <w:r w:rsidRPr="007F065E">
        <w:t xml:space="preserve"> </w:t>
      </w:r>
      <w:r>
        <w:t>not</w:t>
      </w:r>
      <w:r w:rsidRPr="007F065E">
        <w:t xml:space="preserve"> </w:t>
      </w:r>
      <w:r>
        <w:t>to</w:t>
      </w:r>
      <w:r w:rsidRPr="007F065E">
        <w:t xml:space="preserve"> </w:t>
      </w:r>
      <w:r>
        <w:t>share</w:t>
      </w:r>
      <w:r w:rsidRPr="007F065E">
        <w:t xml:space="preserve"> </w:t>
      </w:r>
      <w:r>
        <w:t>a</w:t>
      </w:r>
      <w:r w:rsidRPr="007F065E">
        <w:t xml:space="preserve"> </w:t>
      </w:r>
      <w:r>
        <w:t>portion</w:t>
      </w:r>
      <w:r w:rsidRPr="007F065E">
        <w:t xml:space="preserve"> </w:t>
      </w:r>
      <w:r>
        <w:t>of</w:t>
      </w:r>
      <w:r w:rsidRPr="007F065E">
        <w:t xml:space="preserve"> </w:t>
      </w:r>
      <w:r>
        <w:t>the</w:t>
      </w:r>
      <w:r w:rsidRPr="007F065E">
        <w:t xml:space="preserve"> </w:t>
      </w:r>
      <w:r>
        <w:t>sales</w:t>
      </w:r>
      <w:r w:rsidRPr="007F065E">
        <w:t xml:space="preserve"> </w:t>
      </w:r>
      <w:r>
        <w:t>tax</w:t>
      </w:r>
      <w:r w:rsidRPr="007F065E">
        <w:t xml:space="preserve"> </w:t>
      </w:r>
      <w:r>
        <w:t>revenues</w:t>
      </w:r>
      <w:r w:rsidRPr="007F065E">
        <w:t xml:space="preserve"> </w:t>
      </w:r>
      <w:r>
        <w:t>generated</w:t>
      </w:r>
      <w:r w:rsidRPr="007F065E">
        <w:t xml:space="preserve"> </w:t>
      </w:r>
      <w:r>
        <w:t>by the increase from 6% to 7% with Tennessee municipalities; and,</w:t>
      </w:r>
    </w:p>
    <w:p w14:paraId="40DC5202" w14:textId="77777777" w:rsidR="00BD47EE" w:rsidRDefault="00BD47EE" w:rsidP="007F065E">
      <w:pPr>
        <w:pStyle w:val="BodyText"/>
        <w:ind w:right="1109" w:firstLine="720"/>
      </w:pPr>
    </w:p>
    <w:p w14:paraId="5F42DD88" w14:textId="77777777" w:rsidR="00BD47EE" w:rsidRDefault="00BD47EE" w:rsidP="007F065E">
      <w:pPr>
        <w:pStyle w:val="BodyText"/>
        <w:ind w:right="1109" w:firstLine="720"/>
      </w:pPr>
      <w:r>
        <w:t>WHEREAS,</w:t>
      </w:r>
      <w:r w:rsidRPr="007F065E">
        <w:t xml:space="preserve"> </w:t>
      </w:r>
      <w:proofErr w:type="gramStart"/>
      <w:r>
        <w:t>as</w:t>
      </w:r>
      <w:r w:rsidRPr="007F065E">
        <w:t xml:space="preserve"> </w:t>
      </w:r>
      <w:r>
        <w:t>a</w:t>
      </w:r>
      <w:r w:rsidRPr="007F065E">
        <w:t xml:space="preserve"> </w:t>
      </w:r>
      <w:r>
        <w:t>result</w:t>
      </w:r>
      <w:r w:rsidRPr="007F065E">
        <w:t xml:space="preserve"> </w:t>
      </w:r>
      <w:r>
        <w:t>of</w:t>
      </w:r>
      <w:proofErr w:type="gramEnd"/>
      <w:r w:rsidRPr="007F065E">
        <w:t xml:space="preserve"> </w:t>
      </w:r>
      <w:r>
        <w:t>this</w:t>
      </w:r>
      <w:r w:rsidRPr="007F065E">
        <w:t xml:space="preserve"> </w:t>
      </w:r>
      <w:r>
        <w:t>change</w:t>
      </w:r>
      <w:r w:rsidRPr="007F065E">
        <w:t xml:space="preserve"> </w:t>
      </w:r>
      <w:r>
        <w:t>the</w:t>
      </w:r>
      <w:r w:rsidRPr="007F065E">
        <w:t xml:space="preserve"> </w:t>
      </w:r>
      <w:r>
        <w:t>state</w:t>
      </w:r>
      <w:r w:rsidRPr="007F065E">
        <w:t xml:space="preserve"> </w:t>
      </w:r>
      <w:r>
        <w:t>broke</w:t>
      </w:r>
      <w:r w:rsidRPr="007F065E">
        <w:t xml:space="preserve"> </w:t>
      </w:r>
      <w:r>
        <w:t>a</w:t>
      </w:r>
      <w:r w:rsidRPr="007F065E">
        <w:t xml:space="preserve"> </w:t>
      </w:r>
      <w:r>
        <w:t>55-year</w:t>
      </w:r>
      <w:r w:rsidRPr="007F065E">
        <w:t xml:space="preserve"> </w:t>
      </w:r>
      <w:r>
        <w:t>relationship</w:t>
      </w:r>
      <w:r w:rsidRPr="007F065E">
        <w:t xml:space="preserve"> </w:t>
      </w:r>
      <w:r>
        <w:t>of</w:t>
      </w:r>
      <w:r w:rsidRPr="007F065E">
        <w:t xml:space="preserve"> </w:t>
      </w:r>
      <w:r>
        <w:t>sharing 4.6% of all sales tax revenue designated for the state’s general fund with municipalities; and,</w:t>
      </w:r>
    </w:p>
    <w:p w14:paraId="3516C502" w14:textId="77777777" w:rsidR="00BD47EE" w:rsidRDefault="00BD47EE" w:rsidP="007F065E">
      <w:pPr>
        <w:pStyle w:val="BodyText"/>
        <w:ind w:right="1109" w:firstLine="720"/>
      </w:pPr>
    </w:p>
    <w:p w14:paraId="688A02B8" w14:textId="3CEB5675" w:rsidR="00BD47EE" w:rsidRDefault="00BD47EE" w:rsidP="007F065E">
      <w:pPr>
        <w:pStyle w:val="BodyText"/>
        <w:ind w:right="1109" w:firstLine="720"/>
      </w:pPr>
      <w:r>
        <w:t>WHEREAS, in the 20 years since th</w:t>
      </w:r>
      <w:r w:rsidR="007F065E">
        <w:t>is</w:t>
      </w:r>
      <w:r>
        <w:t xml:space="preserve"> provision took effect, the</w:t>
      </w:r>
      <w:r w:rsidRPr="007F065E">
        <w:t xml:space="preserve"> </w:t>
      </w:r>
      <w:r>
        <w:t>state</w:t>
      </w:r>
      <w:r w:rsidRPr="007F065E">
        <w:t xml:space="preserve"> </w:t>
      </w:r>
      <w:r w:rsidR="007F065E" w:rsidRPr="007F065E">
        <w:t xml:space="preserve">has </w:t>
      </w:r>
      <w:r>
        <w:t>realiz</w:t>
      </w:r>
      <w:r w:rsidR="007F065E">
        <w:t>ed</w:t>
      </w:r>
      <w:r w:rsidRPr="007F065E">
        <w:t xml:space="preserve"> </w:t>
      </w:r>
      <w:r w:rsidR="007F065E">
        <w:t>more than</w:t>
      </w:r>
      <w:r w:rsidRPr="007F065E">
        <w:t xml:space="preserve"> </w:t>
      </w:r>
      <w:r>
        <w:t>$</w:t>
      </w:r>
      <w:r w:rsidR="007F065E">
        <w:t>1</w:t>
      </w:r>
      <w:r w:rsidRPr="007F065E">
        <w:t xml:space="preserve"> </w:t>
      </w:r>
      <w:r>
        <w:t>billion</w:t>
      </w:r>
      <w:r w:rsidRPr="007F065E">
        <w:t xml:space="preserve"> </w:t>
      </w:r>
      <w:r>
        <w:t>in</w:t>
      </w:r>
      <w:r w:rsidRPr="007F065E">
        <w:t xml:space="preserve"> </w:t>
      </w:r>
      <w:r>
        <w:t>additional</w:t>
      </w:r>
      <w:r w:rsidRPr="007F065E">
        <w:t xml:space="preserve"> </w:t>
      </w:r>
      <w:r>
        <w:t>sales</w:t>
      </w:r>
      <w:r w:rsidRPr="007F065E">
        <w:t xml:space="preserve"> </w:t>
      </w:r>
      <w:r>
        <w:t>tax</w:t>
      </w:r>
      <w:r w:rsidRPr="007F065E">
        <w:t xml:space="preserve"> </w:t>
      </w:r>
      <w:r>
        <w:t>collections --</w:t>
      </w:r>
      <w:r w:rsidRPr="007F065E">
        <w:t xml:space="preserve"> </w:t>
      </w:r>
      <w:r>
        <w:t>$</w:t>
      </w:r>
      <w:r w:rsidR="007F065E">
        <w:t>1</w:t>
      </w:r>
      <w:r>
        <w:t xml:space="preserve"> billion that would have benefitted local taxpayers had the historic revenue sharing relationship and single article cap not been altered in 2002; and</w:t>
      </w:r>
      <w:r w:rsidR="007F065E">
        <w:t xml:space="preserve">  </w:t>
      </w:r>
      <w:r>
        <w:t>WHEREAS,</w:t>
      </w:r>
      <w:r w:rsidRPr="007F065E">
        <w:t xml:space="preserve"> </w:t>
      </w:r>
      <w:r>
        <w:t>in</w:t>
      </w:r>
      <w:r w:rsidRPr="007F065E">
        <w:t xml:space="preserve"> </w:t>
      </w:r>
      <w:r>
        <w:t>the</w:t>
      </w:r>
      <w:r w:rsidRPr="007F065E">
        <w:t xml:space="preserve"> </w:t>
      </w:r>
      <w:r>
        <w:t>20</w:t>
      </w:r>
      <w:r w:rsidRPr="007F065E">
        <w:t xml:space="preserve"> </w:t>
      </w:r>
      <w:r>
        <w:t>years</w:t>
      </w:r>
      <w:r w:rsidRPr="007F065E">
        <w:t xml:space="preserve"> </w:t>
      </w:r>
      <w:r>
        <w:t>since</w:t>
      </w:r>
      <w:r w:rsidRPr="007F065E">
        <w:t xml:space="preserve"> </w:t>
      </w:r>
      <w:r>
        <w:t>these</w:t>
      </w:r>
      <w:r w:rsidRPr="007F065E">
        <w:t xml:space="preserve"> </w:t>
      </w:r>
      <w:r>
        <w:t>provisions</w:t>
      </w:r>
      <w:r w:rsidRPr="007F065E">
        <w:t xml:space="preserve"> </w:t>
      </w:r>
      <w:r>
        <w:t>took</w:t>
      </w:r>
      <w:r w:rsidRPr="007F065E">
        <w:t xml:space="preserve"> </w:t>
      </w:r>
      <w:r>
        <w:t>effect,</w:t>
      </w:r>
      <w:r w:rsidRPr="007F065E">
        <w:t xml:space="preserve"> </w:t>
      </w:r>
      <w:r>
        <w:t>Tennessee’s</w:t>
      </w:r>
      <w:r w:rsidRPr="007F065E">
        <w:t xml:space="preserve"> </w:t>
      </w:r>
      <w:r>
        <w:t>state</w:t>
      </w:r>
      <w:r w:rsidRPr="007F065E">
        <w:t xml:space="preserve"> </w:t>
      </w:r>
      <w:r>
        <w:t>leaders have</w:t>
      </w:r>
      <w:r w:rsidRPr="007F065E">
        <w:t xml:space="preserve"> </w:t>
      </w:r>
      <w:r>
        <w:t>managed</w:t>
      </w:r>
      <w:r w:rsidRPr="007F065E">
        <w:t xml:space="preserve"> </w:t>
      </w:r>
      <w:r>
        <w:t>the</w:t>
      </w:r>
      <w:r w:rsidRPr="007F065E">
        <w:t xml:space="preserve"> </w:t>
      </w:r>
      <w:r>
        <w:t>budget</w:t>
      </w:r>
      <w:r w:rsidRPr="007F065E">
        <w:t xml:space="preserve"> </w:t>
      </w:r>
      <w:r>
        <w:t>with</w:t>
      </w:r>
      <w:r w:rsidRPr="007F065E">
        <w:t xml:space="preserve"> </w:t>
      </w:r>
      <w:r>
        <w:t>great</w:t>
      </w:r>
      <w:r w:rsidRPr="007F065E">
        <w:t xml:space="preserve"> </w:t>
      </w:r>
      <w:r>
        <w:t>care and</w:t>
      </w:r>
      <w:r w:rsidRPr="007F065E">
        <w:t xml:space="preserve"> </w:t>
      </w:r>
      <w:r>
        <w:t>a</w:t>
      </w:r>
      <w:r w:rsidRPr="007F065E">
        <w:t xml:space="preserve"> </w:t>
      </w:r>
      <w:r>
        <w:t>strong</w:t>
      </w:r>
      <w:r w:rsidRPr="007F065E">
        <w:t xml:space="preserve"> </w:t>
      </w:r>
      <w:r>
        <w:t>fiscally</w:t>
      </w:r>
      <w:r w:rsidRPr="007F065E">
        <w:t xml:space="preserve"> </w:t>
      </w:r>
      <w:r>
        <w:t>conservative</w:t>
      </w:r>
      <w:r w:rsidRPr="007F065E">
        <w:t xml:space="preserve"> </w:t>
      </w:r>
      <w:r>
        <w:t>approach to</w:t>
      </w:r>
      <w:r w:rsidRPr="007F065E">
        <w:t xml:space="preserve"> </w:t>
      </w:r>
      <w:r>
        <w:t>create</w:t>
      </w:r>
      <w:r w:rsidRPr="007F065E">
        <w:t xml:space="preserve"> </w:t>
      </w:r>
      <w:r>
        <w:t>a dynamic and growing economy; and,</w:t>
      </w:r>
    </w:p>
    <w:p w14:paraId="119749C1" w14:textId="77777777" w:rsidR="00BD47EE" w:rsidRDefault="00BD47EE" w:rsidP="0027606C">
      <w:pPr>
        <w:pStyle w:val="BodyText"/>
        <w:ind w:left="1109" w:right="1109"/>
      </w:pPr>
    </w:p>
    <w:p w14:paraId="73F51CB8" w14:textId="77777777" w:rsidR="00BD47EE" w:rsidRDefault="00BD47EE" w:rsidP="0027606C">
      <w:pPr>
        <w:pStyle w:val="BodyText"/>
        <w:ind w:right="1109" w:firstLine="720"/>
      </w:pPr>
      <w:r>
        <w:t>WHEREAS,</w:t>
      </w:r>
      <w:r>
        <w:rPr>
          <w:spacing w:val="-3"/>
        </w:rPr>
        <w:t xml:space="preserve"> </w:t>
      </w:r>
      <w:r>
        <w:t>in</w:t>
      </w:r>
      <w:r>
        <w:rPr>
          <w:spacing w:val="-3"/>
        </w:rPr>
        <w:t xml:space="preserve"> </w:t>
      </w:r>
      <w:r>
        <w:t>the</w:t>
      </w:r>
      <w:r>
        <w:rPr>
          <w:spacing w:val="-4"/>
        </w:rPr>
        <w:t xml:space="preserve"> </w:t>
      </w:r>
      <w:r>
        <w:t>20</w:t>
      </w:r>
      <w:r>
        <w:rPr>
          <w:spacing w:val="-1"/>
        </w:rPr>
        <w:t xml:space="preserve"> </w:t>
      </w:r>
      <w:r>
        <w:t>years</w:t>
      </w:r>
      <w:r>
        <w:rPr>
          <w:spacing w:val="-3"/>
        </w:rPr>
        <w:t xml:space="preserve"> </w:t>
      </w:r>
      <w:r>
        <w:t>since</w:t>
      </w:r>
      <w:r>
        <w:rPr>
          <w:spacing w:val="-2"/>
        </w:rPr>
        <w:t xml:space="preserve"> </w:t>
      </w:r>
      <w:r>
        <w:t>these</w:t>
      </w:r>
      <w:r>
        <w:rPr>
          <w:spacing w:val="-4"/>
        </w:rPr>
        <w:t xml:space="preserve"> </w:t>
      </w:r>
      <w:r>
        <w:t>provisions</w:t>
      </w:r>
      <w:r>
        <w:rPr>
          <w:spacing w:val="-3"/>
        </w:rPr>
        <w:t xml:space="preserve"> </w:t>
      </w:r>
      <w:r>
        <w:t>took</w:t>
      </w:r>
      <w:r>
        <w:rPr>
          <w:spacing w:val="-3"/>
        </w:rPr>
        <w:t xml:space="preserve"> </w:t>
      </w:r>
      <w:r>
        <w:t>effect,</w:t>
      </w:r>
      <w:r>
        <w:rPr>
          <w:spacing w:val="-3"/>
        </w:rPr>
        <w:t xml:space="preserve"> </w:t>
      </w:r>
      <w:r>
        <w:t>the</w:t>
      </w:r>
      <w:r>
        <w:rPr>
          <w:spacing w:val="-3"/>
        </w:rPr>
        <w:t xml:space="preserve"> </w:t>
      </w:r>
      <w:r>
        <w:t>State</w:t>
      </w:r>
      <w:r>
        <w:rPr>
          <w:spacing w:val="-3"/>
        </w:rPr>
        <w:t xml:space="preserve"> </w:t>
      </w:r>
      <w:r>
        <w:t>of</w:t>
      </w:r>
      <w:r>
        <w:rPr>
          <w:spacing w:val="-3"/>
        </w:rPr>
        <w:t xml:space="preserve"> </w:t>
      </w:r>
      <w:r>
        <w:t>Tennessee’s sustained economic and fiscal performance have erased the conditions which led to these austerity measures in 2002; and,</w:t>
      </w:r>
    </w:p>
    <w:p w14:paraId="1D5BB41C" w14:textId="77777777" w:rsidR="00BD47EE" w:rsidRDefault="00BD47EE" w:rsidP="0027606C">
      <w:pPr>
        <w:pStyle w:val="BodyText"/>
        <w:ind w:left="1109" w:right="1109"/>
      </w:pPr>
    </w:p>
    <w:p w14:paraId="22C5A37E" w14:textId="77777777" w:rsidR="007F065E" w:rsidRDefault="007F065E" w:rsidP="0027606C">
      <w:pPr>
        <w:pStyle w:val="BodyText"/>
        <w:ind w:right="1109" w:firstLine="720"/>
      </w:pPr>
    </w:p>
    <w:p w14:paraId="621953FC" w14:textId="467572E5" w:rsidR="00BD47EE" w:rsidRDefault="00BD47EE" w:rsidP="0027606C">
      <w:pPr>
        <w:pStyle w:val="BodyText"/>
        <w:ind w:right="1109" w:firstLine="720"/>
      </w:pPr>
      <w:proofErr w:type="gramStart"/>
      <w:r>
        <w:lastRenderedPageBreak/>
        <w:t>WHEREAS,</w:t>
      </w:r>
      <w:proofErr w:type="gramEnd"/>
      <w:r>
        <w:rPr>
          <w:spacing w:val="-3"/>
        </w:rPr>
        <w:t xml:space="preserve"> </w:t>
      </w:r>
      <w:r>
        <w:t>there</w:t>
      </w:r>
      <w:r>
        <w:rPr>
          <w:spacing w:val="-4"/>
        </w:rPr>
        <w:t xml:space="preserve"> </w:t>
      </w:r>
      <w:r w:rsidR="007F065E">
        <w:t>are sufficient</w:t>
      </w:r>
      <w:r>
        <w:rPr>
          <w:spacing w:val="-3"/>
        </w:rPr>
        <w:t xml:space="preserve"> </w:t>
      </w:r>
      <w:r>
        <w:t>recurring</w:t>
      </w:r>
      <w:r>
        <w:rPr>
          <w:spacing w:val="-6"/>
        </w:rPr>
        <w:t xml:space="preserve"> </w:t>
      </w:r>
      <w:r>
        <w:t>revenues</w:t>
      </w:r>
      <w:r>
        <w:rPr>
          <w:spacing w:val="-3"/>
        </w:rPr>
        <w:t xml:space="preserve"> </w:t>
      </w:r>
      <w:r>
        <w:t>produced</w:t>
      </w:r>
      <w:r>
        <w:rPr>
          <w:spacing w:val="-3"/>
        </w:rPr>
        <w:t xml:space="preserve"> </w:t>
      </w:r>
      <w:r>
        <w:t>by</w:t>
      </w:r>
      <w:r>
        <w:rPr>
          <w:spacing w:val="-8"/>
        </w:rPr>
        <w:t xml:space="preserve"> </w:t>
      </w:r>
      <w:r>
        <w:t>the economic engines of our state and managed by its leaders; and,</w:t>
      </w:r>
    </w:p>
    <w:p w14:paraId="00B7E522" w14:textId="77777777" w:rsidR="00BD47EE" w:rsidRDefault="00BD47EE" w:rsidP="0027606C">
      <w:pPr>
        <w:pStyle w:val="BodyText"/>
        <w:ind w:left="1109" w:right="1109"/>
      </w:pPr>
    </w:p>
    <w:p w14:paraId="29DE031F" w14:textId="77777777" w:rsidR="00BD47EE" w:rsidRDefault="00BD47EE" w:rsidP="0027606C">
      <w:pPr>
        <w:pStyle w:val="BodyText"/>
        <w:ind w:right="1109" w:firstLine="720"/>
        <w:jc w:val="both"/>
      </w:pPr>
      <w:r>
        <w:t>WHEREAS,</w:t>
      </w:r>
      <w:r>
        <w:rPr>
          <w:spacing w:val="-3"/>
        </w:rPr>
        <w:t xml:space="preserve"> </w:t>
      </w:r>
      <w:proofErr w:type="gramStart"/>
      <w:r>
        <w:t>as</w:t>
      </w:r>
      <w:r>
        <w:rPr>
          <w:spacing w:val="-3"/>
        </w:rPr>
        <w:t xml:space="preserve"> </w:t>
      </w:r>
      <w:r>
        <w:t>a</w:t>
      </w:r>
      <w:r>
        <w:rPr>
          <w:spacing w:val="-4"/>
        </w:rPr>
        <w:t xml:space="preserve"> </w:t>
      </w:r>
      <w:r>
        <w:t>result</w:t>
      </w:r>
      <w:r>
        <w:rPr>
          <w:spacing w:val="-3"/>
        </w:rPr>
        <w:t xml:space="preserve"> </w:t>
      </w:r>
      <w:r>
        <w:t>of</w:t>
      </w:r>
      <w:proofErr w:type="gramEnd"/>
      <w:r>
        <w:rPr>
          <w:spacing w:val="-3"/>
        </w:rPr>
        <w:t xml:space="preserve"> </w:t>
      </w:r>
      <w:r>
        <w:t>the</w:t>
      </w:r>
      <w:r>
        <w:rPr>
          <w:spacing w:val="-5"/>
        </w:rPr>
        <w:t xml:space="preserve"> </w:t>
      </w:r>
      <w:r>
        <w:t>accolades</w:t>
      </w:r>
      <w:r>
        <w:rPr>
          <w:spacing w:val="-3"/>
        </w:rPr>
        <w:t xml:space="preserve"> </w:t>
      </w:r>
      <w:r>
        <w:t>bestowed</w:t>
      </w:r>
      <w:r>
        <w:rPr>
          <w:spacing w:val="-1"/>
        </w:rPr>
        <w:t xml:space="preserve"> </w:t>
      </w:r>
      <w:r>
        <w:t>upon</w:t>
      </w:r>
      <w:r>
        <w:rPr>
          <w:spacing w:val="-3"/>
        </w:rPr>
        <w:t xml:space="preserve"> </w:t>
      </w:r>
      <w:r>
        <w:t>the</w:t>
      </w:r>
      <w:r>
        <w:rPr>
          <w:spacing w:val="-3"/>
        </w:rPr>
        <w:t xml:space="preserve"> </w:t>
      </w:r>
      <w:r>
        <w:t>state</w:t>
      </w:r>
      <w:r>
        <w:rPr>
          <w:spacing w:val="-5"/>
        </w:rPr>
        <w:t xml:space="preserve"> </w:t>
      </w:r>
      <w:r>
        <w:t>for</w:t>
      </w:r>
      <w:r>
        <w:rPr>
          <w:spacing w:val="-5"/>
        </w:rPr>
        <w:t xml:space="preserve"> </w:t>
      </w:r>
      <w:r>
        <w:t>its</w:t>
      </w:r>
      <w:r>
        <w:rPr>
          <w:spacing w:val="-3"/>
        </w:rPr>
        <w:t xml:space="preserve"> </w:t>
      </w:r>
      <w:r>
        <w:t>economic success, its fiscally</w:t>
      </w:r>
      <w:r>
        <w:rPr>
          <w:spacing w:val="-5"/>
        </w:rPr>
        <w:t xml:space="preserve"> </w:t>
      </w:r>
      <w:r>
        <w:t>conservative policies and strong</w:t>
      </w:r>
      <w:r>
        <w:rPr>
          <w:spacing w:val="-3"/>
        </w:rPr>
        <w:t xml:space="preserve"> </w:t>
      </w:r>
      <w:r>
        <w:t>leadership, the state</w:t>
      </w:r>
      <w:r>
        <w:rPr>
          <w:spacing w:val="-2"/>
        </w:rPr>
        <w:t xml:space="preserve"> </w:t>
      </w:r>
      <w:r>
        <w:t>has garnered an enviable reputation as the state in which to live, work and play; and,</w:t>
      </w:r>
    </w:p>
    <w:p w14:paraId="452A97D3" w14:textId="77777777" w:rsidR="00BD47EE" w:rsidRDefault="00BD47EE" w:rsidP="0027606C">
      <w:pPr>
        <w:pStyle w:val="BodyText"/>
        <w:spacing w:before="1"/>
        <w:ind w:left="1109" w:right="1109"/>
      </w:pPr>
    </w:p>
    <w:p w14:paraId="0E0F5DA6" w14:textId="77777777" w:rsidR="00BD47EE" w:rsidRDefault="00BD47EE" w:rsidP="0027606C">
      <w:pPr>
        <w:pStyle w:val="BodyText"/>
        <w:ind w:right="1109" w:firstLine="720"/>
      </w:pPr>
      <w:r>
        <w:t>WHEREAS, a consequence of this reputation has led to continued and substantial economic</w:t>
      </w:r>
      <w:r>
        <w:rPr>
          <w:spacing w:val="-3"/>
        </w:rPr>
        <w:t xml:space="preserve"> </w:t>
      </w:r>
      <w:r>
        <w:t>growth</w:t>
      </w:r>
      <w:r>
        <w:rPr>
          <w:spacing w:val="-3"/>
        </w:rPr>
        <w:t xml:space="preserve"> </w:t>
      </w:r>
      <w:r>
        <w:t>and</w:t>
      </w:r>
      <w:r>
        <w:rPr>
          <w:spacing w:val="-2"/>
        </w:rPr>
        <w:t xml:space="preserve"> </w:t>
      </w:r>
      <w:r>
        <w:t>an</w:t>
      </w:r>
      <w:r>
        <w:rPr>
          <w:spacing w:val="-2"/>
        </w:rPr>
        <w:t xml:space="preserve"> </w:t>
      </w:r>
      <w:r>
        <w:t>increase</w:t>
      </w:r>
      <w:r>
        <w:rPr>
          <w:spacing w:val="-5"/>
        </w:rPr>
        <w:t xml:space="preserve"> </w:t>
      </w:r>
      <w:r>
        <w:t>and</w:t>
      </w:r>
      <w:r>
        <w:rPr>
          <w:spacing w:val="-4"/>
        </w:rPr>
        <w:t xml:space="preserve"> </w:t>
      </w:r>
      <w:r>
        <w:t>realignment</w:t>
      </w:r>
      <w:r>
        <w:rPr>
          <w:spacing w:val="-2"/>
        </w:rPr>
        <w:t xml:space="preserve"> </w:t>
      </w:r>
      <w:r>
        <w:t>of</w:t>
      </w:r>
      <w:r>
        <w:rPr>
          <w:spacing w:val="-4"/>
        </w:rPr>
        <w:t xml:space="preserve"> </w:t>
      </w:r>
      <w:r>
        <w:t>the</w:t>
      </w:r>
      <w:r>
        <w:rPr>
          <w:spacing w:val="-4"/>
        </w:rPr>
        <w:t xml:space="preserve"> </w:t>
      </w:r>
      <w:r>
        <w:t>state’s</w:t>
      </w:r>
      <w:r>
        <w:rPr>
          <w:spacing w:val="-5"/>
        </w:rPr>
        <w:t xml:space="preserve"> </w:t>
      </w:r>
      <w:r>
        <w:t>population,</w:t>
      </w:r>
      <w:r>
        <w:rPr>
          <w:spacing w:val="-2"/>
        </w:rPr>
        <w:t xml:space="preserve"> </w:t>
      </w:r>
      <w:r>
        <w:t>thereby</w:t>
      </w:r>
      <w:r>
        <w:rPr>
          <w:spacing w:val="-7"/>
        </w:rPr>
        <w:t xml:space="preserve"> </w:t>
      </w:r>
      <w:r>
        <w:t>increasing the fiscal pressures on municipal governments to meet demands to expand and maintain infrastructure, to deliver essential services, to provide the amenities that allow for continued quality of life for Tennessee’s citizens, and to promote an economic environment that allows Tennessee’s businesses and communities to prosper; and,</w:t>
      </w:r>
    </w:p>
    <w:p w14:paraId="7E8858F5" w14:textId="77777777" w:rsidR="00BD47EE" w:rsidRDefault="00BD47EE" w:rsidP="0027606C">
      <w:pPr>
        <w:pStyle w:val="BodyText"/>
        <w:ind w:left="1109" w:right="1109"/>
      </w:pPr>
    </w:p>
    <w:p w14:paraId="4FC99CEC" w14:textId="77777777" w:rsidR="00BD47EE" w:rsidRDefault="00BD47EE" w:rsidP="0027606C">
      <w:pPr>
        <w:pStyle w:val="BodyText"/>
        <w:ind w:right="1109" w:firstLine="720"/>
      </w:pPr>
      <w:proofErr w:type="gramStart"/>
      <w:r>
        <w:t>WHEREAS,</w:t>
      </w:r>
      <w:proofErr w:type="gramEnd"/>
      <w:r>
        <w:rPr>
          <w:spacing w:val="-3"/>
        </w:rPr>
        <w:t xml:space="preserve"> </w:t>
      </w:r>
      <w:r>
        <w:t>these</w:t>
      </w:r>
      <w:r>
        <w:rPr>
          <w:spacing w:val="-5"/>
        </w:rPr>
        <w:t xml:space="preserve"> </w:t>
      </w:r>
      <w:r>
        <w:t>fiscal</w:t>
      </w:r>
      <w:r>
        <w:rPr>
          <w:spacing w:val="-3"/>
        </w:rPr>
        <w:t xml:space="preserve"> </w:t>
      </w:r>
      <w:r>
        <w:t>pressures create</w:t>
      </w:r>
      <w:r>
        <w:rPr>
          <w:spacing w:val="-4"/>
        </w:rPr>
        <w:t xml:space="preserve"> </w:t>
      </w:r>
      <w:r>
        <w:t>the</w:t>
      </w:r>
      <w:r>
        <w:rPr>
          <w:spacing w:val="-3"/>
        </w:rPr>
        <w:t xml:space="preserve"> </w:t>
      </w:r>
      <w:r>
        <w:t>need</w:t>
      </w:r>
      <w:r>
        <w:rPr>
          <w:spacing w:val="-1"/>
        </w:rPr>
        <w:t xml:space="preserve"> </w:t>
      </w:r>
      <w:r>
        <w:t>for</w:t>
      </w:r>
      <w:r>
        <w:rPr>
          <w:spacing w:val="-5"/>
        </w:rPr>
        <w:t xml:space="preserve"> </w:t>
      </w:r>
      <w:r>
        <w:t>recurring</w:t>
      </w:r>
      <w:r>
        <w:rPr>
          <w:spacing w:val="-6"/>
        </w:rPr>
        <w:t xml:space="preserve"> </w:t>
      </w:r>
      <w:r>
        <w:t>dollars</w:t>
      </w:r>
      <w:r>
        <w:rPr>
          <w:spacing w:val="-3"/>
        </w:rPr>
        <w:t xml:space="preserve"> </w:t>
      </w:r>
      <w:r>
        <w:t>to</w:t>
      </w:r>
      <w:r>
        <w:rPr>
          <w:spacing w:val="-3"/>
        </w:rPr>
        <w:t xml:space="preserve"> </w:t>
      </w:r>
      <w:r>
        <w:t>keep</w:t>
      </w:r>
      <w:r>
        <w:rPr>
          <w:spacing w:val="-3"/>
        </w:rPr>
        <w:t xml:space="preserve"> </w:t>
      </w:r>
      <w:r>
        <w:t>pace</w:t>
      </w:r>
      <w:r>
        <w:rPr>
          <w:spacing w:val="-4"/>
        </w:rPr>
        <w:t xml:space="preserve"> </w:t>
      </w:r>
      <w:r>
        <w:t>with this demand and to counteract the effects of inflation; and,</w:t>
      </w:r>
    </w:p>
    <w:p w14:paraId="0495F58F" w14:textId="77777777" w:rsidR="00BD47EE" w:rsidRDefault="00BD47EE" w:rsidP="0027606C">
      <w:pPr>
        <w:pStyle w:val="BodyText"/>
        <w:ind w:left="1109" w:right="1109"/>
      </w:pPr>
    </w:p>
    <w:p w14:paraId="07FA310A" w14:textId="77777777" w:rsidR="00BD47EE" w:rsidRDefault="00BD47EE" w:rsidP="0027606C">
      <w:pPr>
        <w:pStyle w:val="BodyText"/>
        <w:spacing w:before="1"/>
        <w:ind w:right="1109" w:firstLine="720"/>
      </w:pPr>
      <w:r>
        <w:t>WHEREAS,</w:t>
      </w:r>
      <w:r>
        <w:rPr>
          <w:spacing w:val="-3"/>
        </w:rPr>
        <w:t xml:space="preserve"> </w:t>
      </w:r>
      <w:r>
        <w:t>correcting</w:t>
      </w:r>
      <w:r>
        <w:rPr>
          <w:spacing w:val="-6"/>
        </w:rPr>
        <w:t xml:space="preserve"> </w:t>
      </w:r>
      <w:r>
        <w:t>the</w:t>
      </w:r>
      <w:r>
        <w:rPr>
          <w:spacing w:val="-3"/>
        </w:rPr>
        <w:t xml:space="preserve"> </w:t>
      </w:r>
      <w:r>
        <w:t>provisions</w:t>
      </w:r>
      <w:r>
        <w:rPr>
          <w:spacing w:val="-3"/>
        </w:rPr>
        <w:t xml:space="preserve"> </w:t>
      </w:r>
      <w:r>
        <w:t>which</w:t>
      </w:r>
      <w:r>
        <w:rPr>
          <w:spacing w:val="-3"/>
        </w:rPr>
        <w:t xml:space="preserve"> </w:t>
      </w:r>
      <w:r>
        <w:t>took</w:t>
      </w:r>
      <w:r>
        <w:rPr>
          <w:spacing w:val="-3"/>
        </w:rPr>
        <w:t xml:space="preserve"> </w:t>
      </w:r>
      <w:r>
        <w:t>effect</w:t>
      </w:r>
      <w:r>
        <w:rPr>
          <w:spacing w:val="-3"/>
        </w:rPr>
        <w:t xml:space="preserve"> </w:t>
      </w:r>
      <w:r>
        <w:t>in</w:t>
      </w:r>
      <w:r>
        <w:rPr>
          <w:spacing w:val="-3"/>
        </w:rPr>
        <w:t xml:space="preserve"> </w:t>
      </w:r>
      <w:r>
        <w:t>2002</w:t>
      </w:r>
      <w:r>
        <w:rPr>
          <w:spacing w:val="-3"/>
        </w:rPr>
        <w:t xml:space="preserve"> </w:t>
      </w:r>
      <w:r>
        <w:t>will</w:t>
      </w:r>
      <w:r>
        <w:rPr>
          <w:spacing w:val="-3"/>
        </w:rPr>
        <w:t xml:space="preserve"> </w:t>
      </w:r>
      <w:r>
        <w:t>help</w:t>
      </w:r>
      <w:r>
        <w:rPr>
          <w:spacing w:val="-3"/>
        </w:rPr>
        <w:t xml:space="preserve"> </w:t>
      </w:r>
      <w:r>
        <w:t>to</w:t>
      </w:r>
      <w:r>
        <w:rPr>
          <w:spacing w:val="-2"/>
        </w:rPr>
        <w:t xml:space="preserve"> </w:t>
      </w:r>
      <w:r>
        <w:t>offset</w:t>
      </w:r>
      <w:r>
        <w:rPr>
          <w:spacing w:val="-3"/>
        </w:rPr>
        <w:t xml:space="preserve"> </w:t>
      </w:r>
      <w:r>
        <w:t xml:space="preserve">these fiscal pressures and to provide relief to local taxpayers shouldering the burden of meeting this demand which is associated with generating the sales tax revenues accruing to the </w:t>
      </w:r>
      <w:proofErr w:type="gramStart"/>
      <w:r>
        <w:t>state;</w:t>
      </w:r>
      <w:proofErr w:type="gramEnd"/>
    </w:p>
    <w:p w14:paraId="5685931A" w14:textId="77777777" w:rsidR="0027606C" w:rsidRDefault="0027606C" w:rsidP="0027606C">
      <w:pPr>
        <w:pStyle w:val="BodyText"/>
        <w:tabs>
          <w:tab w:val="left" w:pos="3187"/>
          <w:tab w:val="left" w:pos="3812"/>
          <w:tab w:val="left" w:pos="10024"/>
        </w:tabs>
        <w:ind w:right="1109"/>
      </w:pPr>
    </w:p>
    <w:p w14:paraId="67ED2744" w14:textId="5A4263B4" w:rsidR="00BD47EE" w:rsidRDefault="00BD47EE" w:rsidP="0027606C">
      <w:pPr>
        <w:pStyle w:val="BodyText"/>
        <w:tabs>
          <w:tab w:val="left" w:pos="3187"/>
          <w:tab w:val="left" w:pos="3812"/>
          <w:tab w:val="left" w:pos="10024"/>
        </w:tabs>
        <w:ind w:right="1109"/>
      </w:pPr>
      <w:r>
        <w:t>NOW THEREFORE BE IT RESOLVED that the</w:t>
      </w:r>
      <w:r w:rsidR="0027606C">
        <w:t xml:space="preserve"> ___</w:t>
      </w:r>
      <w:r>
        <w:t>[Board/Commission/</w:t>
      </w:r>
      <w:proofErr w:type="gramStart"/>
      <w:r>
        <w:t>Council]</w:t>
      </w:r>
      <w:r w:rsidR="0027606C">
        <w:t xml:space="preserve">  </w:t>
      </w:r>
      <w:r w:rsidR="0027606C">
        <w:rPr>
          <w:u w:val="single"/>
        </w:rPr>
        <w:t>_</w:t>
      </w:r>
      <w:proofErr w:type="gramEnd"/>
      <w:r w:rsidR="0027606C">
        <w:rPr>
          <w:u w:val="single"/>
        </w:rPr>
        <w:t xml:space="preserve">__ </w:t>
      </w:r>
      <w:r>
        <w:rPr>
          <w:spacing w:val="-6"/>
        </w:rPr>
        <w:t xml:space="preserve">of </w:t>
      </w:r>
      <w:r>
        <w:t xml:space="preserve">the </w:t>
      </w:r>
      <w:r w:rsidR="0027606C">
        <w:rPr>
          <w:spacing w:val="80"/>
          <w:w w:val="150"/>
          <w:u w:val="single"/>
        </w:rPr>
        <w:t>__</w:t>
      </w:r>
      <w:r>
        <w:t>[City/Town]</w:t>
      </w:r>
      <w:r w:rsidR="0027606C">
        <w:rPr>
          <w:u w:val="single"/>
        </w:rPr>
        <w:t>____</w:t>
      </w:r>
      <w:r>
        <w:t xml:space="preserve">of </w:t>
      </w:r>
      <w:r w:rsidR="0027606C">
        <w:rPr>
          <w:u w:val="single"/>
        </w:rPr>
        <w:t>___</w:t>
      </w:r>
      <w:r>
        <w:t>[city/town]</w:t>
      </w:r>
      <w:r w:rsidR="0027606C">
        <w:rPr>
          <w:spacing w:val="40"/>
          <w:u w:val="single"/>
        </w:rPr>
        <w:t>__</w:t>
      </w:r>
      <w:r>
        <w:t>, on behalf of its residents, formally supports the restoration of the historic revenue sharing relationship of recurring state shared sales taxes in order for cities to once again receive 4.6% of all state general fund sales tax revenue.</w:t>
      </w:r>
      <w:r>
        <w:rPr>
          <w:spacing w:val="40"/>
        </w:rPr>
        <w:t xml:space="preserve"> </w:t>
      </w:r>
    </w:p>
    <w:p w14:paraId="100851A5" w14:textId="77777777" w:rsidR="00BD47EE" w:rsidRDefault="00BD47EE" w:rsidP="0027606C">
      <w:pPr>
        <w:pStyle w:val="BodyText"/>
        <w:ind w:left="1109" w:right="1109"/>
        <w:rPr>
          <w:sz w:val="20"/>
        </w:rPr>
      </w:pPr>
    </w:p>
    <w:p w14:paraId="2A30D6AC" w14:textId="77777777" w:rsidR="00BD47EE" w:rsidRDefault="00BD47EE" w:rsidP="0027606C">
      <w:pPr>
        <w:pStyle w:val="BodyText"/>
        <w:ind w:left="1109" w:right="1109"/>
        <w:rPr>
          <w:sz w:val="20"/>
        </w:rPr>
      </w:pPr>
    </w:p>
    <w:p w14:paraId="2EA85303" w14:textId="77777777" w:rsidR="00BD47EE" w:rsidRDefault="00BD47EE" w:rsidP="0027606C">
      <w:pPr>
        <w:pStyle w:val="BodyText"/>
        <w:ind w:left="1109" w:right="1109"/>
        <w:rPr>
          <w:sz w:val="18"/>
        </w:rPr>
      </w:pPr>
    </w:p>
    <w:p w14:paraId="0A855B5B" w14:textId="77777777" w:rsidR="00BD47EE" w:rsidRDefault="00BD47EE" w:rsidP="0027606C">
      <w:pPr>
        <w:tabs>
          <w:tab w:val="left" w:pos="5420"/>
        </w:tabs>
        <w:spacing w:before="93"/>
        <w:ind w:left="1109" w:right="1109"/>
        <w:rPr>
          <w:sz w:val="18"/>
        </w:rPr>
      </w:pPr>
      <w:r>
        <w:rPr>
          <w:spacing w:val="-4"/>
          <w:sz w:val="18"/>
        </w:rPr>
        <w:t>Date</w:t>
      </w:r>
      <w:r>
        <w:rPr>
          <w:sz w:val="18"/>
        </w:rPr>
        <w:tab/>
      </w:r>
      <w:proofErr w:type="spellStart"/>
      <w:r>
        <w:rPr>
          <w:spacing w:val="-4"/>
          <w:sz w:val="18"/>
        </w:rPr>
        <w:t>Date</w:t>
      </w:r>
      <w:proofErr w:type="spellEnd"/>
    </w:p>
    <w:p w14:paraId="390E6D8D" w14:textId="77777777" w:rsidR="00BD47EE" w:rsidRDefault="00BD47EE" w:rsidP="0027606C">
      <w:pPr>
        <w:pStyle w:val="BodyText"/>
        <w:ind w:left="1109" w:right="1109"/>
        <w:rPr>
          <w:sz w:val="20"/>
        </w:rPr>
      </w:pPr>
    </w:p>
    <w:p w14:paraId="798D9C9A" w14:textId="77777777" w:rsidR="00BD47EE" w:rsidRDefault="00BD47EE" w:rsidP="0027606C">
      <w:pPr>
        <w:pStyle w:val="BodyText"/>
        <w:spacing w:before="11"/>
        <w:ind w:left="1109" w:right="1109"/>
        <w:rPr>
          <w:sz w:val="25"/>
        </w:rPr>
      </w:pPr>
    </w:p>
    <w:p w14:paraId="48BDACBE" w14:textId="77777777" w:rsidR="00BD47EE" w:rsidRDefault="00BD47EE" w:rsidP="0027606C">
      <w:pPr>
        <w:tabs>
          <w:tab w:val="left" w:pos="5420"/>
        </w:tabs>
        <w:spacing w:before="92"/>
        <w:ind w:left="1109" w:right="1109"/>
        <w:rPr>
          <w:sz w:val="18"/>
        </w:rPr>
      </w:pPr>
      <w:r>
        <w:rPr>
          <w:spacing w:val="-2"/>
          <w:sz w:val="18"/>
        </w:rPr>
        <w:t>Mayor</w:t>
      </w:r>
      <w:r>
        <w:rPr>
          <w:sz w:val="18"/>
        </w:rPr>
        <w:tab/>
      </w:r>
      <w:r>
        <w:rPr>
          <w:spacing w:val="-2"/>
          <w:sz w:val="18"/>
        </w:rPr>
        <w:t>Recorder</w:t>
      </w:r>
    </w:p>
    <w:p w14:paraId="59A6BE06" w14:textId="77777777" w:rsidR="00DC5D6B" w:rsidRDefault="00DC5D6B" w:rsidP="0027606C">
      <w:pPr>
        <w:ind w:left="1109" w:right="1109"/>
      </w:pPr>
    </w:p>
    <w:sectPr w:rsidR="00DC5D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7EE"/>
    <w:rsid w:val="00013476"/>
    <w:rsid w:val="0004433F"/>
    <w:rsid w:val="00131809"/>
    <w:rsid w:val="0027606C"/>
    <w:rsid w:val="00685163"/>
    <w:rsid w:val="007228DE"/>
    <w:rsid w:val="007F065E"/>
    <w:rsid w:val="00853CA7"/>
    <w:rsid w:val="00BD47EE"/>
    <w:rsid w:val="00DC5D6B"/>
    <w:rsid w:val="00F80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4128AF"/>
  <w15:chartTrackingRefBased/>
  <w15:docId w15:val="{9AE4F571-13C3-3549-B5DD-844FF872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7EE"/>
    <w:pPr>
      <w:widowControl w:val="0"/>
      <w:autoSpaceDE w:val="0"/>
      <w:autoSpaceDN w:val="0"/>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uiPriority w:val="9"/>
    <w:qFormat/>
    <w:rsid w:val="00BD47EE"/>
    <w:pPr>
      <w:keepNext/>
      <w:keepLines/>
      <w:widowControl/>
      <w:autoSpaceDE/>
      <w:autoSpaceDN/>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D47EE"/>
    <w:pPr>
      <w:keepNext/>
      <w:keepLines/>
      <w:widowControl/>
      <w:autoSpaceDE/>
      <w:autoSpaceDN/>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D47EE"/>
    <w:pPr>
      <w:keepNext/>
      <w:keepLines/>
      <w:widowControl/>
      <w:autoSpaceDE/>
      <w:autoSpaceDN/>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D47EE"/>
    <w:pPr>
      <w:keepNext/>
      <w:keepLines/>
      <w:widowControl/>
      <w:autoSpaceDE/>
      <w:autoSpaceDN/>
      <w:spacing w:before="80" w:after="40"/>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D47EE"/>
    <w:pPr>
      <w:keepNext/>
      <w:keepLines/>
      <w:widowControl/>
      <w:autoSpaceDE/>
      <w:autoSpaceDN/>
      <w:spacing w:before="80" w:after="40"/>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D47EE"/>
    <w:pPr>
      <w:keepNext/>
      <w:keepLines/>
      <w:widowControl/>
      <w:autoSpaceDE/>
      <w:autoSpaceDN/>
      <w:spacing w:before="40"/>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D47EE"/>
    <w:pPr>
      <w:keepNext/>
      <w:keepLines/>
      <w:widowControl/>
      <w:autoSpaceDE/>
      <w:autoSpaceDN/>
      <w:spacing w:before="40"/>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D47EE"/>
    <w:pPr>
      <w:keepNext/>
      <w:keepLines/>
      <w:widowControl/>
      <w:autoSpaceDE/>
      <w:autoSpaceDN/>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D47EE"/>
    <w:pPr>
      <w:keepNext/>
      <w:keepLines/>
      <w:widowControl/>
      <w:autoSpaceDE/>
      <w:autoSpaceDN/>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7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47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47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47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47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47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47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47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47EE"/>
    <w:rPr>
      <w:rFonts w:eastAsiaTheme="majorEastAsia" w:cstheme="majorBidi"/>
      <w:color w:val="272727" w:themeColor="text1" w:themeTint="D8"/>
    </w:rPr>
  </w:style>
  <w:style w:type="paragraph" w:styleId="Title">
    <w:name w:val="Title"/>
    <w:basedOn w:val="Normal"/>
    <w:next w:val="Normal"/>
    <w:link w:val="TitleChar"/>
    <w:uiPriority w:val="10"/>
    <w:qFormat/>
    <w:rsid w:val="00BD47EE"/>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D47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47EE"/>
    <w:pPr>
      <w:widowControl/>
      <w:numPr>
        <w:ilvl w:val="1"/>
      </w:numPr>
      <w:autoSpaceDE/>
      <w:autoSpaceDN/>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D47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47EE"/>
    <w:pPr>
      <w:widowControl/>
      <w:autoSpaceDE/>
      <w:autoSpaceDN/>
      <w:spacing w:before="160" w:after="160"/>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D47EE"/>
    <w:rPr>
      <w:i/>
      <w:iCs/>
      <w:color w:val="404040" w:themeColor="text1" w:themeTint="BF"/>
    </w:rPr>
  </w:style>
  <w:style w:type="paragraph" w:styleId="ListParagraph">
    <w:name w:val="List Paragraph"/>
    <w:basedOn w:val="Normal"/>
    <w:uiPriority w:val="34"/>
    <w:qFormat/>
    <w:rsid w:val="00BD47EE"/>
    <w:pPr>
      <w:widowControl/>
      <w:autoSpaceDE/>
      <w:autoSpaceDN/>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BD47EE"/>
    <w:rPr>
      <w:i/>
      <w:iCs/>
      <w:color w:val="0F4761" w:themeColor="accent1" w:themeShade="BF"/>
    </w:rPr>
  </w:style>
  <w:style w:type="paragraph" w:styleId="IntenseQuote">
    <w:name w:val="Intense Quote"/>
    <w:basedOn w:val="Normal"/>
    <w:next w:val="Normal"/>
    <w:link w:val="IntenseQuoteChar"/>
    <w:uiPriority w:val="30"/>
    <w:qFormat/>
    <w:rsid w:val="00BD47EE"/>
    <w:pPr>
      <w:widowControl/>
      <w:pBdr>
        <w:top w:val="single" w:sz="4" w:space="10" w:color="0F4761" w:themeColor="accent1" w:themeShade="BF"/>
        <w:bottom w:val="single" w:sz="4" w:space="10" w:color="0F4761" w:themeColor="accent1" w:themeShade="BF"/>
      </w:pBdr>
      <w:autoSpaceDE/>
      <w:autoSpaceDN/>
      <w:spacing w:before="360" w:after="360"/>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D47EE"/>
    <w:rPr>
      <w:i/>
      <w:iCs/>
      <w:color w:val="0F4761" w:themeColor="accent1" w:themeShade="BF"/>
    </w:rPr>
  </w:style>
  <w:style w:type="character" w:styleId="IntenseReference">
    <w:name w:val="Intense Reference"/>
    <w:basedOn w:val="DefaultParagraphFont"/>
    <w:uiPriority w:val="32"/>
    <w:qFormat/>
    <w:rsid w:val="00BD47EE"/>
    <w:rPr>
      <w:b/>
      <w:bCs/>
      <w:smallCaps/>
      <w:color w:val="0F4761" w:themeColor="accent1" w:themeShade="BF"/>
      <w:spacing w:val="5"/>
    </w:rPr>
  </w:style>
  <w:style w:type="paragraph" w:styleId="BodyText">
    <w:name w:val="Body Text"/>
    <w:basedOn w:val="Normal"/>
    <w:link w:val="BodyTextChar"/>
    <w:uiPriority w:val="1"/>
    <w:qFormat/>
    <w:rsid w:val="00BD47EE"/>
    <w:rPr>
      <w:sz w:val="24"/>
      <w:szCs w:val="24"/>
    </w:rPr>
  </w:style>
  <w:style w:type="character" w:customStyle="1" w:styleId="BodyTextChar">
    <w:name w:val="Body Text Char"/>
    <w:basedOn w:val="DefaultParagraphFont"/>
    <w:link w:val="BodyText"/>
    <w:uiPriority w:val="1"/>
    <w:rsid w:val="00BD47EE"/>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0174E-05A6-B145-A99C-16102944F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French Barrett</dc:creator>
  <cp:keywords/>
  <dc:description/>
  <cp:lastModifiedBy>Wendy French Barrett</cp:lastModifiedBy>
  <cp:revision>2</cp:revision>
  <cp:lastPrinted>2024-12-04T16:53:00Z</cp:lastPrinted>
  <dcterms:created xsi:type="dcterms:W3CDTF">2024-12-04T21:26:00Z</dcterms:created>
  <dcterms:modified xsi:type="dcterms:W3CDTF">2024-12-04T21:26:00Z</dcterms:modified>
</cp:coreProperties>
</file>